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3300" w14:textId="70D40122" w:rsidR="00900BDE" w:rsidRDefault="00900BDE" w:rsidP="00900BDE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23548325"/>
      <w:r w:rsidRPr="00C17D7A">
        <w:rPr>
          <w:rFonts w:asciiTheme="minorHAnsi" w:hAnsiTheme="minorHAnsi" w:cstheme="minorHAnsi"/>
          <w:b/>
          <w:bCs/>
          <w:sz w:val="24"/>
        </w:rPr>
        <w:t xml:space="preserve">Contrato Nº </w:t>
      </w:r>
      <w:r>
        <w:rPr>
          <w:rFonts w:asciiTheme="minorHAnsi" w:hAnsiTheme="minorHAnsi" w:cstheme="minorHAnsi"/>
          <w:b/>
          <w:bCs/>
          <w:sz w:val="24"/>
        </w:rPr>
        <w:t>21</w:t>
      </w:r>
      <w:r w:rsidRPr="00C17D7A">
        <w:rPr>
          <w:rFonts w:asciiTheme="minorHAnsi" w:hAnsiTheme="minorHAnsi" w:cstheme="minorHAnsi"/>
          <w:b/>
          <w:bCs/>
          <w:sz w:val="24"/>
        </w:rPr>
        <w:t>/</w:t>
      </w:r>
      <w:r>
        <w:rPr>
          <w:rFonts w:asciiTheme="minorHAnsi" w:hAnsiTheme="minorHAnsi" w:cstheme="minorHAnsi"/>
          <w:b/>
          <w:bCs/>
          <w:sz w:val="24"/>
        </w:rPr>
        <w:t>2023</w:t>
      </w:r>
      <w:r w:rsidRPr="00C17D7A">
        <w:rPr>
          <w:rFonts w:asciiTheme="minorHAnsi" w:hAnsiTheme="minorHAnsi" w:cstheme="minorHAnsi"/>
          <w:b/>
          <w:bCs/>
          <w:sz w:val="24"/>
        </w:rPr>
        <w:t xml:space="preserve"> – Fornecimento </w:t>
      </w:r>
      <w:r>
        <w:rPr>
          <w:rFonts w:asciiTheme="minorHAnsi" w:hAnsiTheme="minorHAnsi" w:cstheme="minorHAnsi"/>
          <w:b/>
          <w:sz w:val="24"/>
          <w:szCs w:val="24"/>
        </w:rPr>
        <w:t>parcelado de gêneros alimentícios, durante o exercício de 2023</w:t>
      </w:r>
    </w:p>
    <w:p w14:paraId="1A076B7C" w14:textId="77777777" w:rsidR="00900BDE" w:rsidRDefault="00900BDE" w:rsidP="00900BD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B32E6B" w14:textId="2E7FF46C" w:rsidR="00900BDE" w:rsidRPr="00672CFB" w:rsidRDefault="00900BDE" w:rsidP="00900BD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72CFB">
        <w:rPr>
          <w:rFonts w:asciiTheme="minorHAnsi" w:hAnsiTheme="minorHAnsi" w:cstheme="minorHAnsi"/>
          <w:b/>
          <w:bCs/>
          <w:sz w:val="24"/>
        </w:rPr>
        <w:t>Processo Nº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FB721F">
        <w:rPr>
          <w:rFonts w:asciiTheme="minorHAnsi" w:hAnsiTheme="minorHAnsi" w:cstheme="minorHAnsi"/>
          <w:b/>
          <w:bCs/>
          <w:sz w:val="24"/>
        </w:rPr>
        <w:t>644</w:t>
      </w:r>
      <w:r w:rsidRPr="00672CFB">
        <w:rPr>
          <w:rFonts w:asciiTheme="minorHAnsi" w:hAnsiTheme="minorHAnsi" w:cstheme="minorHAnsi"/>
          <w:b/>
          <w:bCs/>
          <w:sz w:val="24"/>
        </w:rPr>
        <w:t>/202</w:t>
      </w:r>
      <w:r>
        <w:rPr>
          <w:rFonts w:asciiTheme="minorHAnsi" w:hAnsiTheme="minorHAnsi" w:cstheme="minorHAnsi"/>
          <w:b/>
          <w:bCs/>
          <w:sz w:val="24"/>
        </w:rPr>
        <w:t>2</w:t>
      </w:r>
    </w:p>
    <w:p w14:paraId="5A088574" w14:textId="77777777" w:rsidR="00900BDE" w:rsidRDefault="00900BDE" w:rsidP="00900BD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72CFB">
        <w:rPr>
          <w:rFonts w:asciiTheme="minorHAnsi" w:hAnsiTheme="minorHAnsi" w:cstheme="minorHAnsi"/>
          <w:b/>
          <w:bCs/>
          <w:sz w:val="24"/>
        </w:rPr>
        <w:t xml:space="preserve">Pregão </w:t>
      </w:r>
      <w:r>
        <w:rPr>
          <w:rFonts w:asciiTheme="minorHAnsi" w:hAnsiTheme="minorHAnsi" w:cstheme="minorHAnsi"/>
          <w:b/>
          <w:bCs/>
          <w:sz w:val="24"/>
        </w:rPr>
        <w:t>Eletrônico</w:t>
      </w:r>
      <w:r w:rsidRPr="00672CFB">
        <w:rPr>
          <w:rFonts w:asciiTheme="minorHAnsi" w:hAnsiTheme="minorHAnsi" w:cstheme="minorHAnsi"/>
          <w:b/>
          <w:bCs/>
          <w:sz w:val="24"/>
        </w:rPr>
        <w:t xml:space="preserve"> Nº </w:t>
      </w:r>
      <w:r>
        <w:rPr>
          <w:rFonts w:asciiTheme="minorHAnsi" w:hAnsiTheme="minorHAnsi" w:cstheme="minorHAnsi"/>
          <w:b/>
          <w:bCs/>
          <w:sz w:val="24"/>
        </w:rPr>
        <w:t>25</w:t>
      </w:r>
      <w:r w:rsidRPr="00672CFB">
        <w:rPr>
          <w:rFonts w:asciiTheme="minorHAnsi" w:hAnsiTheme="minorHAnsi" w:cstheme="minorHAnsi"/>
          <w:b/>
          <w:bCs/>
          <w:sz w:val="24"/>
        </w:rPr>
        <w:t>/202</w:t>
      </w:r>
      <w:r>
        <w:rPr>
          <w:rFonts w:asciiTheme="minorHAnsi" w:hAnsiTheme="minorHAnsi" w:cstheme="minorHAnsi"/>
          <w:b/>
          <w:bCs/>
          <w:sz w:val="24"/>
        </w:rPr>
        <w:t>2</w:t>
      </w:r>
      <w:r w:rsidRPr="00672CFB">
        <w:rPr>
          <w:rFonts w:asciiTheme="minorHAnsi" w:hAnsiTheme="minorHAnsi" w:cstheme="minorHAnsi"/>
          <w:b/>
          <w:bCs/>
          <w:sz w:val="24"/>
        </w:rPr>
        <w:cr/>
      </w:r>
    </w:p>
    <w:p w14:paraId="13F49107" w14:textId="116C2C8D" w:rsidR="00900BDE" w:rsidRPr="00032ABC" w:rsidRDefault="00900BDE" w:rsidP="00900BDE">
      <w:pPr>
        <w:jc w:val="both"/>
        <w:rPr>
          <w:rFonts w:asciiTheme="minorHAnsi" w:hAnsiTheme="minorHAnsi" w:cstheme="minorHAnsi"/>
          <w:sz w:val="24"/>
        </w:rPr>
      </w:pPr>
      <w:r w:rsidRPr="00032ABC">
        <w:rPr>
          <w:rFonts w:asciiTheme="minorHAnsi" w:hAnsiTheme="minorHAnsi" w:cstheme="minorHAnsi"/>
          <w:b/>
          <w:bCs/>
          <w:sz w:val="24"/>
        </w:rPr>
        <w:t>Contratante:</w:t>
      </w:r>
      <w:r w:rsidRPr="00032AB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144D55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</w:t>
      </w:r>
    </w:p>
    <w:p w14:paraId="286C83E0" w14:textId="77777777" w:rsidR="00900BDE" w:rsidRDefault="00900BDE" w:rsidP="00900BDE">
      <w:pPr>
        <w:jc w:val="both"/>
      </w:pPr>
    </w:p>
    <w:p w14:paraId="660BE30B" w14:textId="19F6654E" w:rsidR="00900BDE" w:rsidRPr="00032ABC" w:rsidRDefault="00900BDE" w:rsidP="00900BDE">
      <w:pPr>
        <w:jc w:val="both"/>
        <w:rPr>
          <w:rFonts w:asciiTheme="minorHAnsi" w:hAnsiTheme="minorHAnsi" w:cstheme="minorHAnsi"/>
          <w:sz w:val="24"/>
        </w:rPr>
      </w:pPr>
      <w:r w:rsidRPr="00032ABC">
        <w:rPr>
          <w:rFonts w:asciiTheme="minorHAnsi" w:hAnsiTheme="minorHAnsi" w:cstheme="minorHAnsi"/>
          <w:b/>
          <w:bCs/>
          <w:sz w:val="24"/>
        </w:rPr>
        <w:t>Contratada:</w:t>
      </w:r>
      <w:r w:rsidRPr="00032ABC">
        <w:rPr>
          <w:rFonts w:asciiTheme="minorHAnsi" w:hAnsiTheme="minorHAnsi" w:cstheme="minorHAnsi"/>
          <w:sz w:val="24"/>
        </w:rPr>
        <w:t xml:space="preserve"> </w:t>
      </w:r>
      <w:r w:rsidRPr="00900BDE">
        <w:rPr>
          <w:rFonts w:asciiTheme="minorHAnsi" w:hAnsiTheme="minorHAnsi" w:cstheme="minorHAnsi"/>
          <w:sz w:val="24"/>
        </w:rPr>
        <w:t>J. T. INDUSTRIA E COMERCIO DE CAFES LTDA</w:t>
      </w:r>
      <w:r>
        <w:rPr>
          <w:rFonts w:asciiTheme="minorHAnsi" w:hAnsiTheme="minorHAnsi" w:cstheme="minorHAnsi"/>
          <w:sz w:val="24"/>
        </w:rPr>
        <w:t xml:space="preserve">, </w:t>
      </w:r>
      <w:r w:rsidRPr="00032ABC">
        <w:rPr>
          <w:rFonts w:asciiTheme="minorHAnsi" w:hAnsiTheme="minorHAnsi" w:cstheme="minorHAnsi"/>
          <w:sz w:val="24"/>
        </w:rPr>
        <w:t xml:space="preserve">Inscrita no CNPJ </w:t>
      </w:r>
      <w:r w:rsidRPr="00900BDE">
        <w:rPr>
          <w:rFonts w:asciiTheme="minorHAnsi" w:hAnsiTheme="minorHAnsi" w:cstheme="minorHAnsi"/>
          <w:sz w:val="24"/>
        </w:rPr>
        <w:t>03.370.573/0001-03</w:t>
      </w:r>
      <w:r>
        <w:rPr>
          <w:rFonts w:asciiTheme="minorHAnsi" w:hAnsiTheme="minorHAnsi" w:cstheme="minorHAnsi"/>
          <w:sz w:val="24"/>
        </w:rPr>
        <w:t xml:space="preserve">, </w:t>
      </w:r>
      <w:r w:rsidRPr="00032ABC">
        <w:rPr>
          <w:rFonts w:asciiTheme="minorHAnsi" w:hAnsiTheme="minorHAnsi" w:cstheme="minorHAnsi"/>
          <w:sz w:val="24"/>
        </w:rPr>
        <w:t xml:space="preserve">estabelecida </w:t>
      </w:r>
      <w:r>
        <w:rPr>
          <w:rFonts w:asciiTheme="minorHAnsi" w:hAnsiTheme="minorHAnsi" w:cstheme="minorHAnsi"/>
          <w:sz w:val="24"/>
        </w:rPr>
        <w:t>ao Sítio Santa Luzia</w:t>
      </w:r>
      <w:r w:rsidRPr="00032ABC">
        <w:rPr>
          <w:rFonts w:asciiTheme="minorHAnsi" w:hAnsiTheme="minorHAnsi" w:cstheme="minorHAnsi"/>
          <w:sz w:val="24"/>
        </w:rPr>
        <w:t xml:space="preserve">, bairro </w:t>
      </w:r>
      <w:r>
        <w:rPr>
          <w:rFonts w:asciiTheme="minorHAnsi" w:hAnsiTheme="minorHAnsi" w:cstheme="minorHAnsi"/>
          <w:sz w:val="24"/>
        </w:rPr>
        <w:t>Palmital</w:t>
      </w:r>
      <w:r w:rsidRPr="00032ABC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Bariri - SP,</w:t>
      </w:r>
      <w:r w:rsidRPr="00032ABC">
        <w:rPr>
          <w:rFonts w:asciiTheme="minorHAnsi" w:hAnsiTheme="minorHAnsi" w:cstheme="minorHAnsi"/>
          <w:sz w:val="24"/>
        </w:rPr>
        <w:t xml:space="preserve"> neste ato representada pelo Senhor</w:t>
      </w:r>
      <w:r>
        <w:rPr>
          <w:rFonts w:asciiTheme="minorHAnsi" w:hAnsiTheme="minorHAnsi" w:cstheme="minorHAnsi"/>
          <w:sz w:val="24"/>
        </w:rPr>
        <w:t xml:space="preserve"> João Carlos Trento</w:t>
      </w:r>
      <w:r w:rsidRPr="00032ABC">
        <w:rPr>
          <w:rFonts w:asciiTheme="minorHAnsi" w:hAnsiTheme="minorHAnsi" w:cstheme="minorHAnsi"/>
          <w:sz w:val="24"/>
        </w:rPr>
        <w:t xml:space="preserve"> portador do CPF n.º </w:t>
      </w:r>
      <w:r>
        <w:rPr>
          <w:rFonts w:asciiTheme="minorHAnsi" w:hAnsiTheme="minorHAnsi" w:cstheme="minorHAnsi"/>
          <w:sz w:val="24"/>
        </w:rPr>
        <w:t>113.276.288-05.</w:t>
      </w:r>
    </w:p>
    <w:p w14:paraId="7111FF73" w14:textId="77777777" w:rsidR="00900BDE" w:rsidRDefault="00900BDE" w:rsidP="00900BDE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5A81D28A" w14:textId="77777777" w:rsidR="00900BDE" w:rsidRPr="00E3407D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Primeira – Objeto</w:t>
      </w:r>
    </w:p>
    <w:p w14:paraId="4176EA66" w14:textId="77777777" w:rsidR="00900BDE" w:rsidRDefault="00900BDE" w:rsidP="00900BDE">
      <w:pPr>
        <w:pStyle w:val="ListParagraph"/>
        <w:numPr>
          <w:ilvl w:val="1"/>
          <w:numId w:val="1"/>
        </w:numPr>
        <w:spacing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 xml:space="preserve">O presente contrato tem como finalidade o fornecimento parcelado de </w:t>
      </w:r>
      <w:r>
        <w:rPr>
          <w:rFonts w:asciiTheme="minorHAnsi" w:hAnsiTheme="minorHAnsi" w:cstheme="minorHAnsi"/>
          <w:bCs/>
          <w:sz w:val="24"/>
          <w:szCs w:val="24"/>
        </w:rPr>
        <w:t xml:space="preserve">gêneros alimentícios 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para 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 de Piracicaba, </w:t>
      </w:r>
      <w:r>
        <w:rPr>
          <w:rFonts w:asciiTheme="minorHAnsi" w:hAnsiTheme="minorHAnsi" w:cstheme="minorHAnsi"/>
          <w:bCs/>
          <w:sz w:val="24"/>
          <w:szCs w:val="24"/>
        </w:rPr>
        <w:t xml:space="preserve">durante o exercício de 2023, </w:t>
      </w:r>
      <w:r w:rsidRPr="00E3407D">
        <w:rPr>
          <w:rFonts w:asciiTheme="minorHAnsi" w:hAnsiTheme="minorHAnsi" w:cstheme="minorHAnsi"/>
          <w:bCs/>
          <w:sz w:val="24"/>
          <w:szCs w:val="24"/>
        </w:rPr>
        <w:t>conforme especificações a seguir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919"/>
        <w:gridCol w:w="740"/>
        <w:gridCol w:w="3269"/>
        <w:gridCol w:w="1263"/>
        <w:gridCol w:w="1572"/>
      </w:tblGrid>
      <w:tr w:rsidR="00900BDE" w:rsidRPr="00C32CC3" w14:paraId="244DB834" w14:textId="77777777" w:rsidTr="00900BDE">
        <w:trPr>
          <w:trHeight w:val="588"/>
        </w:trPr>
        <w:tc>
          <w:tcPr>
            <w:tcW w:w="681" w:type="dxa"/>
            <w:shd w:val="clear" w:color="auto" w:fill="E0E0E0"/>
            <w:vAlign w:val="center"/>
          </w:tcPr>
          <w:p w14:paraId="375653C5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  <w:bCs/>
                <w:sz w:val="32"/>
                <w:szCs w:val="32"/>
              </w:rPr>
              <w:br w:type="page"/>
            </w:r>
            <w:r w:rsidRPr="00E50FF5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919" w:type="dxa"/>
            <w:shd w:val="clear" w:color="auto" w:fill="E0E0E0"/>
            <w:vAlign w:val="center"/>
          </w:tcPr>
          <w:p w14:paraId="05D878EC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E50FF5">
              <w:rPr>
                <w:rFonts w:ascii="Calibri" w:hAnsi="Calibri" w:cs="Calibri"/>
                <w:b/>
              </w:rPr>
              <w:t>Qtde</w:t>
            </w:r>
            <w:proofErr w:type="spellEnd"/>
          </w:p>
        </w:tc>
        <w:tc>
          <w:tcPr>
            <w:tcW w:w="740" w:type="dxa"/>
            <w:shd w:val="clear" w:color="auto" w:fill="E0E0E0"/>
            <w:vAlign w:val="center"/>
          </w:tcPr>
          <w:p w14:paraId="5CA3ACBB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Unid.</w:t>
            </w:r>
          </w:p>
        </w:tc>
        <w:tc>
          <w:tcPr>
            <w:tcW w:w="3269" w:type="dxa"/>
            <w:shd w:val="clear" w:color="auto" w:fill="E0E0E0"/>
            <w:vAlign w:val="center"/>
          </w:tcPr>
          <w:p w14:paraId="0E266837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Descrição</w:t>
            </w:r>
          </w:p>
        </w:tc>
        <w:tc>
          <w:tcPr>
            <w:tcW w:w="1263" w:type="dxa"/>
            <w:shd w:val="clear" w:color="auto" w:fill="E0E0E0"/>
            <w:vAlign w:val="center"/>
          </w:tcPr>
          <w:p w14:paraId="7278B721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Valor Unitário</w:t>
            </w:r>
          </w:p>
        </w:tc>
        <w:tc>
          <w:tcPr>
            <w:tcW w:w="1572" w:type="dxa"/>
            <w:shd w:val="clear" w:color="auto" w:fill="E0E0E0"/>
            <w:vAlign w:val="center"/>
          </w:tcPr>
          <w:p w14:paraId="1C167330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  <w:b/>
              </w:rPr>
            </w:pPr>
            <w:r w:rsidRPr="00E50FF5">
              <w:rPr>
                <w:rFonts w:ascii="Calibri" w:hAnsi="Calibri" w:cs="Calibri"/>
                <w:b/>
              </w:rPr>
              <w:t>Valor Total</w:t>
            </w:r>
          </w:p>
        </w:tc>
      </w:tr>
      <w:tr w:rsidR="00900BDE" w:rsidRPr="00C32CC3" w14:paraId="53208123" w14:textId="77777777" w:rsidTr="00900BDE">
        <w:trPr>
          <w:trHeight w:val="588"/>
        </w:trPr>
        <w:tc>
          <w:tcPr>
            <w:tcW w:w="681" w:type="dxa"/>
            <w:shd w:val="clear" w:color="auto" w:fill="auto"/>
            <w:vAlign w:val="center"/>
          </w:tcPr>
          <w:p w14:paraId="54A06C78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18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96E1FAC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2860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0C1C86E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PT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532C741" w14:textId="77777777" w:rsidR="00900BDE" w:rsidRPr="00E50FF5" w:rsidRDefault="00900BDE" w:rsidP="001D0B8C">
            <w:pPr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CAFÉ TRADICIONAL, SUPERIOR (PACOTE COM 500 G)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812D14C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R$ 10,99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4F416ED" w14:textId="77777777" w:rsidR="00900BDE" w:rsidRPr="00E50FF5" w:rsidRDefault="00900BDE" w:rsidP="001D0B8C">
            <w:pPr>
              <w:jc w:val="center"/>
              <w:rPr>
                <w:rFonts w:ascii="Calibri" w:hAnsi="Calibri" w:cs="Calibri"/>
              </w:rPr>
            </w:pPr>
            <w:r w:rsidRPr="00E50FF5">
              <w:rPr>
                <w:rFonts w:ascii="Calibri" w:hAnsi="Calibri" w:cs="Calibri"/>
              </w:rPr>
              <w:t>R$ 31.431,40</w:t>
            </w:r>
          </w:p>
        </w:tc>
      </w:tr>
    </w:tbl>
    <w:p w14:paraId="0A0B24F9" w14:textId="77777777" w:rsidR="00900BDE" w:rsidRPr="00032ABC" w:rsidRDefault="00900BDE" w:rsidP="00900BD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F0923D" w14:textId="77777777" w:rsidR="00900BDE" w:rsidRPr="00E3407D" w:rsidRDefault="00900BDE" w:rsidP="00900BDE">
      <w:pPr>
        <w:spacing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26EBE7" w14:textId="77777777" w:rsidR="00900BDE" w:rsidRPr="00E3407D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Segunda – Recursos financeiros</w:t>
      </w:r>
    </w:p>
    <w:p w14:paraId="5F34CA2B" w14:textId="15DBCB85" w:rsidR="00900BDE" w:rsidRPr="00E3407D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presente instrumento terá o valor total estimado de </w:t>
      </w:r>
      <w:r w:rsidRPr="00E3407D">
        <w:rPr>
          <w:rFonts w:asciiTheme="minorHAnsi" w:hAnsiTheme="minorHAnsi" w:cstheme="minorHAnsi"/>
          <w:b/>
          <w:bCs/>
          <w:sz w:val="24"/>
          <w:szCs w:val="24"/>
        </w:rPr>
        <w:t xml:space="preserve">R$ </w:t>
      </w:r>
      <w:r>
        <w:rPr>
          <w:rFonts w:asciiTheme="minorHAnsi" w:hAnsiTheme="minorHAnsi" w:cstheme="minorHAnsi"/>
          <w:b/>
          <w:bCs/>
          <w:sz w:val="24"/>
          <w:szCs w:val="24"/>
        </w:rPr>
        <w:t>31.431,40 (Trinta e um mil, quatrocentos e trinta e um reais e quarenta centavos).</w:t>
      </w:r>
    </w:p>
    <w:p w14:paraId="073CB7E1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As despesas decorrentes da contratação, objeto deste contrato, correrão à</w:t>
      </w:r>
      <w:r>
        <w:rPr>
          <w:rFonts w:asciiTheme="minorHAnsi" w:hAnsiTheme="minorHAnsi" w:cstheme="minorHAnsi"/>
          <w:bCs/>
          <w:sz w:val="24"/>
          <w:szCs w:val="24"/>
        </w:rPr>
        <w:t xml:space="preserve"> conta da dotação orçamentária Nº </w:t>
      </w:r>
      <w:r w:rsidRPr="00E3407D">
        <w:rPr>
          <w:rFonts w:asciiTheme="minorHAnsi" w:hAnsiTheme="minorHAnsi" w:cstheme="minorHAnsi"/>
          <w:bCs/>
          <w:sz w:val="24"/>
          <w:szCs w:val="24"/>
        </w:rPr>
        <w:t>01.031.0001.2.373.3.3.90.39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3407D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 xml:space="preserve"> Outros materiais de consumo</w:t>
      </w:r>
      <w:r w:rsidRPr="00E3407D">
        <w:rPr>
          <w:rFonts w:asciiTheme="minorHAnsi" w:hAnsiTheme="minorHAnsi" w:cstheme="minorHAnsi"/>
          <w:bCs/>
          <w:sz w:val="24"/>
          <w:szCs w:val="24"/>
        </w:rPr>
        <w:t>, co</w:t>
      </w:r>
      <w:r>
        <w:rPr>
          <w:rFonts w:asciiTheme="minorHAnsi" w:hAnsiTheme="minorHAnsi" w:cstheme="minorHAnsi"/>
          <w:bCs/>
          <w:sz w:val="24"/>
          <w:szCs w:val="24"/>
        </w:rPr>
        <w:t>nstante para o exercício de 2023.</w:t>
      </w:r>
    </w:p>
    <w:p w14:paraId="3F66E790" w14:textId="77777777" w:rsidR="00900BDE" w:rsidRPr="00032E44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E44">
        <w:rPr>
          <w:rFonts w:asciiTheme="minorHAnsi" w:hAnsiTheme="minorHAnsi" w:cstheme="minorHAnsi"/>
          <w:b/>
          <w:sz w:val="24"/>
          <w:szCs w:val="24"/>
        </w:rPr>
        <w:t>Cláusula Terceira – Suporte Legal</w:t>
      </w:r>
    </w:p>
    <w:p w14:paraId="69CE5B52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Este Contrato é regulado pelos seguintes dispositivos legais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2C925B17" w14:textId="77777777" w:rsidR="00900BDE" w:rsidRPr="00E3407D" w:rsidRDefault="00900BDE" w:rsidP="00900BDE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a)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Lei Orgânica do Município de Piracicaba.</w:t>
      </w:r>
    </w:p>
    <w:p w14:paraId="05BD5654" w14:textId="77777777" w:rsidR="00900BDE" w:rsidRPr="00E3407D" w:rsidRDefault="00900BDE" w:rsidP="00900BDE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b)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Lei Federal n.º 10.520/02.</w:t>
      </w:r>
    </w:p>
    <w:p w14:paraId="4BA5873E" w14:textId="77777777" w:rsidR="00900BDE" w:rsidRPr="00E3407D" w:rsidRDefault="00900BDE" w:rsidP="00900BDE">
      <w:pPr>
        <w:pStyle w:val="ListParagraph"/>
        <w:spacing w:after="160" w:line="259" w:lineRule="auto"/>
        <w:ind w:left="79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c)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Resolução n.º 08/05.</w:t>
      </w:r>
    </w:p>
    <w:p w14:paraId="28422E3E" w14:textId="77777777" w:rsidR="00900BDE" w:rsidRDefault="00900BDE" w:rsidP="00900BDE">
      <w:pPr>
        <w:pStyle w:val="ListParagraph"/>
        <w:spacing w:after="160" w:line="259" w:lineRule="auto"/>
        <w:ind w:left="792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>d)</w:t>
      </w:r>
      <w:r w:rsidRPr="00E3407D">
        <w:rPr>
          <w:rFonts w:asciiTheme="minorHAnsi" w:hAnsiTheme="minorHAnsi" w:cstheme="minorHAnsi"/>
          <w:bCs/>
          <w:sz w:val="24"/>
          <w:szCs w:val="24"/>
        </w:rPr>
        <w:tab/>
        <w:t>Demais Disposições legais aplicáveis, inclusive subsidiariamente, as normas da lei n.º 8.666/93 e suas alterações.</w:t>
      </w:r>
    </w:p>
    <w:p w14:paraId="0DF4B666" w14:textId="77777777" w:rsidR="00900BDE" w:rsidRDefault="00900BDE" w:rsidP="00900BDE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E3407D">
        <w:rPr>
          <w:rFonts w:asciiTheme="minorHAnsi" w:hAnsiTheme="minorHAnsi" w:cstheme="minorHAnsi"/>
          <w:b/>
          <w:bCs/>
          <w:sz w:val="24"/>
          <w:szCs w:val="24"/>
        </w:rPr>
        <w:t>Cláusula Quarta – Administração e prazo de vigência</w:t>
      </w:r>
    </w:p>
    <w:p w14:paraId="0006318A" w14:textId="77777777" w:rsidR="00900BDE" w:rsidRPr="00032ABC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vanish/>
          <w:sz w:val="24"/>
          <w:szCs w:val="24"/>
        </w:rPr>
      </w:pPr>
    </w:p>
    <w:p w14:paraId="08A71D61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407D">
        <w:rPr>
          <w:rFonts w:asciiTheme="minorHAnsi" w:hAnsiTheme="minorHAnsi" w:cstheme="minorHAnsi"/>
          <w:bCs/>
          <w:sz w:val="24"/>
          <w:szCs w:val="24"/>
        </w:rPr>
        <w:t xml:space="preserve">A gestão do </w:t>
      </w:r>
      <w:r>
        <w:rPr>
          <w:rFonts w:asciiTheme="minorHAnsi" w:hAnsiTheme="minorHAnsi" w:cstheme="minorHAnsi"/>
          <w:bCs/>
          <w:sz w:val="24"/>
          <w:szCs w:val="24"/>
        </w:rPr>
        <w:t>referido contrato será feita p</w:t>
      </w:r>
      <w:r w:rsidRPr="00E3407D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E3407D">
        <w:rPr>
          <w:rFonts w:asciiTheme="minorHAnsi" w:hAnsiTheme="minorHAnsi" w:cstheme="minorHAnsi"/>
          <w:bCs/>
          <w:sz w:val="24"/>
          <w:szCs w:val="24"/>
        </w:rPr>
        <w:t xml:space="preserve"> servidor </w:t>
      </w:r>
      <w:r>
        <w:rPr>
          <w:rFonts w:asciiTheme="minorHAnsi" w:hAnsiTheme="minorHAnsi" w:cstheme="minorHAnsi"/>
          <w:bCs/>
          <w:sz w:val="24"/>
          <w:szCs w:val="24"/>
        </w:rPr>
        <w:t>a ser designado pelo Presidente.</w:t>
      </w:r>
    </w:p>
    <w:p w14:paraId="0E1EC618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12333">
        <w:rPr>
          <w:rFonts w:asciiTheme="minorHAnsi" w:hAnsiTheme="minorHAnsi" w:cstheme="minorHAnsi"/>
          <w:bCs/>
          <w:sz w:val="24"/>
          <w:szCs w:val="24"/>
        </w:rPr>
        <w:t>As decisões e providências que ultrapassem a competência do representante deverão ser solicitadas a seus superiores, em tempo hábil, para a adoção das medidas convenientes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DA23C29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presente Instrumento terá vigência de 12 (doze) me</w:t>
      </w:r>
      <w:r>
        <w:rPr>
          <w:rFonts w:asciiTheme="minorHAnsi" w:hAnsiTheme="minorHAnsi" w:cstheme="minorHAnsi"/>
          <w:bCs/>
          <w:sz w:val="24"/>
          <w:szCs w:val="24"/>
        </w:rPr>
        <w:t>ses, iniciando-se a partir de 02</w:t>
      </w:r>
      <w:r w:rsidRPr="006F424C">
        <w:rPr>
          <w:rFonts w:asciiTheme="minorHAnsi" w:hAnsiTheme="minorHAnsi" w:cstheme="minorHAnsi"/>
          <w:bCs/>
          <w:sz w:val="24"/>
          <w:szCs w:val="24"/>
        </w:rPr>
        <w:t>/0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6F424C"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, com término </w:t>
      </w:r>
      <w:r>
        <w:rPr>
          <w:rFonts w:asciiTheme="minorHAnsi" w:hAnsiTheme="minorHAnsi" w:cstheme="minorHAnsi"/>
          <w:bCs/>
          <w:sz w:val="24"/>
          <w:szCs w:val="24"/>
        </w:rPr>
        <w:t>previsto para o dia 31/12/2023.</w:t>
      </w:r>
    </w:p>
    <w:p w14:paraId="63EAD670" w14:textId="77777777" w:rsidR="00900BDE" w:rsidRPr="006F424C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Quinta – Pessoal</w:t>
      </w:r>
    </w:p>
    <w:p w14:paraId="433183BE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Competirá à Contratada a admissão e registro de empregados necessários ao fornecimento contratado, correndo por sua conta todos os encargos sociais, seguros, exigências das leis trabalhistas e previdenciárias, enfim todos os custos provenientes da execução do fornecimento objeto do presente contrato, não tendo vínculo empregatício algum com 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D97EFEE" w14:textId="77777777" w:rsidR="00900BDE" w:rsidRPr="006F424C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Sexta – Local de entrega e fornecimento</w:t>
      </w:r>
    </w:p>
    <w:p w14:paraId="28DC6A7C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A Contratada deverá </w:t>
      </w:r>
      <w:r>
        <w:rPr>
          <w:rFonts w:asciiTheme="minorHAnsi" w:hAnsiTheme="minorHAnsi" w:cstheme="minorHAnsi"/>
          <w:bCs/>
          <w:sz w:val="24"/>
          <w:szCs w:val="24"/>
        </w:rPr>
        <w:t>realizar a entrega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no Refeitório d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Piracicaba, situada à Rua </w:t>
      </w:r>
      <w:r>
        <w:rPr>
          <w:rFonts w:asciiTheme="minorHAnsi" w:hAnsiTheme="minorHAnsi" w:cstheme="minorHAnsi"/>
          <w:bCs/>
          <w:sz w:val="24"/>
          <w:szCs w:val="24"/>
        </w:rPr>
        <w:t>São José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, nº </w:t>
      </w:r>
      <w:r>
        <w:rPr>
          <w:rFonts w:asciiTheme="minorHAnsi" w:hAnsiTheme="minorHAnsi" w:cstheme="minorHAnsi"/>
          <w:bCs/>
          <w:sz w:val="24"/>
          <w:szCs w:val="24"/>
        </w:rPr>
        <w:t>574 – Centro (Piracicaba/SP).</w:t>
      </w:r>
    </w:p>
    <w:p w14:paraId="2AEDD58A" w14:textId="77777777" w:rsidR="00900BDE" w:rsidRPr="00116EB5" w:rsidRDefault="00900BDE" w:rsidP="00900BDE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recebimento</w:t>
      </w:r>
      <w:r>
        <w:rPr>
          <w:rFonts w:asciiTheme="minorHAnsi" w:hAnsiTheme="minorHAnsi" w:cstheme="minorHAnsi"/>
          <w:bCs/>
          <w:sz w:val="24"/>
          <w:szCs w:val="24"/>
        </w:rPr>
        <w:t xml:space="preserve"> da entrega de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que trata o item acima far-se-á mediante recibo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125D558" w14:textId="77777777" w:rsidR="00900BDE" w:rsidRPr="00544AC2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44AC2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Contratada</w:t>
      </w:r>
      <w:r w:rsidRPr="00544AC2">
        <w:rPr>
          <w:rFonts w:ascii="Calibri" w:hAnsi="Calibri" w:cs="Calibri"/>
          <w:sz w:val="24"/>
          <w:szCs w:val="24"/>
        </w:rPr>
        <w:t xml:space="preserve"> deverá entregar os produtos de forma parcelada, em até 05 (cinco) dias úteis a contar do recebimento da solicitação encaminhada pelo gestor do contrato.</w:t>
      </w:r>
    </w:p>
    <w:p w14:paraId="23764C04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Deverá ser dada</w:t>
      </w:r>
      <w:r w:rsidRPr="00081B3C">
        <w:rPr>
          <w:rFonts w:asciiTheme="minorHAnsi" w:hAnsiTheme="minorHAnsi" w:cstheme="minorHAnsi"/>
          <w:bCs/>
          <w:sz w:val="24"/>
          <w:szCs w:val="24"/>
        </w:rPr>
        <w:t xml:space="preserve"> prioridade aos pedidos da Câmara Municipal, tendo em vista problemas que possam surgir, como racionamento e/ou falta de produtos no mercado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C4EEE07" w14:textId="77777777" w:rsidR="00900BDE" w:rsidRPr="00DD3467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Contratada deverá s</w:t>
      </w:r>
      <w:r w:rsidRPr="00DD3467">
        <w:rPr>
          <w:rFonts w:asciiTheme="minorHAnsi" w:hAnsiTheme="minorHAnsi" w:cstheme="minorHAnsi"/>
          <w:bCs/>
          <w:sz w:val="24"/>
          <w:szCs w:val="24"/>
        </w:rPr>
        <w:t>eguir programação da Câmara Municipal de Piracicaba quanto a data, local, quantidade e qualidade dos produtos a serem entregues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B0E46D7" w14:textId="77777777" w:rsidR="00900BDE" w:rsidRDefault="00900BDE" w:rsidP="00900BDE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No caso de os produtos serem entregues em desacordo, </w:t>
      </w:r>
      <w:r>
        <w:rPr>
          <w:rFonts w:asciiTheme="minorHAnsi" w:hAnsiTheme="minorHAnsi" w:cstheme="minorHAnsi"/>
          <w:bCs/>
          <w:sz w:val="24"/>
          <w:szCs w:val="24"/>
        </w:rPr>
        <w:t>eles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serão devolvidos e deverão ser substituídos imediatamente por outros.</w:t>
      </w:r>
    </w:p>
    <w:p w14:paraId="7DC08273" w14:textId="77777777" w:rsidR="00900BDE" w:rsidRPr="00DB4B2E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4B2E">
        <w:rPr>
          <w:rFonts w:asciiTheme="minorHAnsi" w:hAnsiTheme="minorHAnsi" w:cstheme="minorHAnsi"/>
          <w:b/>
          <w:bCs/>
          <w:sz w:val="24"/>
          <w:szCs w:val="24"/>
        </w:rPr>
        <w:t>Cláusula Sétima – Pagamentos</w:t>
      </w:r>
    </w:p>
    <w:p w14:paraId="5D59844A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Os pagamentos serão efetuados após as respectivas entregas parcelada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dos produtos, acompanhado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Nota Fiscal/Fatura discriminada de acordo com a Nota de Empenho, após a conferência dos produtos por um funcionário a ser indicado pelo Departamento </w:t>
      </w:r>
      <w:r>
        <w:rPr>
          <w:rFonts w:asciiTheme="minorHAnsi" w:hAnsiTheme="minorHAnsi" w:cstheme="minorHAnsi"/>
          <w:bCs/>
          <w:sz w:val="24"/>
          <w:szCs w:val="24"/>
        </w:rPr>
        <w:t xml:space="preserve">Administrativo e de Documentação </w:t>
      </w:r>
      <w:r w:rsidRPr="006F424C">
        <w:rPr>
          <w:rFonts w:asciiTheme="minorHAnsi" w:hAnsiTheme="minorHAnsi" w:cstheme="minorHAnsi"/>
          <w:bCs/>
          <w:sz w:val="24"/>
          <w:szCs w:val="24"/>
        </w:rPr>
        <w:t>desta Casa de Leis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E34F74E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lastRenderedPageBreak/>
        <w:t>O pagamento será creditado em favor d</w:t>
      </w:r>
      <w:r>
        <w:rPr>
          <w:rFonts w:asciiTheme="minorHAnsi" w:hAnsiTheme="minorHAnsi" w:cstheme="minorHAnsi"/>
          <w:bCs/>
          <w:sz w:val="24"/>
          <w:szCs w:val="24"/>
        </w:rPr>
        <w:t xml:space="preserve">a Contratada, </w:t>
      </w:r>
      <w:r w:rsidRPr="002D677A">
        <w:rPr>
          <w:rFonts w:asciiTheme="minorHAnsi" w:hAnsiTheme="minorHAnsi" w:cstheme="minorHAnsi"/>
          <w:sz w:val="24"/>
          <w:szCs w:val="24"/>
        </w:rPr>
        <w:t>em até 15 dias a contar da emissão da Nota Fiscal</w:t>
      </w:r>
      <w:r w:rsidRPr="006F424C">
        <w:rPr>
          <w:rFonts w:asciiTheme="minorHAnsi" w:hAnsiTheme="minorHAnsi" w:cstheme="minorHAnsi"/>
          <w:bCs/>
          <w:sz w:val="24"/>
          <w:szCs w:val="24"/>
        </w:rPr>
        <w:t>, por meio de ordem bancária, devendo para isto, ficar explicitado o nome do Banco, agência, localidade e número da conta corrente em que deverá ser efetivado o crédito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61003ECE" w14:textId="77777777" w:rsidR="00900BDE" w:rsidRDefault="00900BDE" w:rsidP="00900BDE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Será procedida consulta on</w:t>
      </w:r>
      <w:r w:rsidRPr="008D0EA2">
        <w:rPr>
          <w:rFonts w:asciiTheme="minorHAnsi" w:hAnsiTheme="minorHAnsi" w:cstheme="minorHAnsi"/>
          <w:sz w:val="24"/>
          <w:szCs w:val="24"/>
        </w:rPr>
        <w:t>line junto aos órgãos correspondentes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antes do pagamento ser efetuado a licitante vencedora, para verificação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situação d</w:t>
      </w:r>
      <w:r>
        <w:rPr>
          <w:rFonts w:asciiTheme="minorHAnsi" w:hAnsiTheme="minorHAnsi" w:cstheme="minorHAnsi"/>
          <w:sz w:val="24"/>
          <w:szCs w:val="24"/>
        </w:rPr>
        <w:t>essa</w:t>
      </w:r>
      <w:r w:rsidRPr="008D0EA2">
        <w:rPr>
          <w:rFonts w:asciiTheme="minorHAnsi" w:hAnsiTheme="minorHAnsi" w:cstheme="minorHAnsi"/>
          <w:sz w:val="24"/>
          <w:szCs w:val="24"/>
        </w:rPr>
        <w:t>, relativamente às condições de habilitação exigidas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Pregão, cujos resultados serão impressos e juntados aos autos do processo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próprio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1764C03" w14:textId="77777777" w:rsidR="00900BDE" w:rsidRDefault="00900BDE" w:rsidP="00900BDE">
      <w:pPr>
        <w:pStyle w:val="ListParagraph"/>
        <w:numPr>
          <w:ilvl w:val="2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B461F">
        <w:rPr>
          <w:rFonts w:asciiTheme="minorHAnsi" w:hAnsiTheme="minorHAnsi" w:cstheme="minorHAnsi"/>
          <w:b/>
          <w:bCs/>
          <w:sz w:val="24"/>
          <w:szCs w:val="24"/>
        </w:rPr>
        <w:t>O pagamento ficar</w:t>
      </w:r>
      <w:r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2B461F">
        <w:rPr>
          <w:rFonts w:asciiTheme="minorHAnsi" w:hAnsiTheme="minorHAnsi" w:cstheme="minorHAnsi"/>
          <w:b/>
          <w:bCs/>
          <w:sz w:val="24"/>
          <w:szCs w:val="24"/>
        </w:rPr>
        <w:t xml:space="preserve"> condicionado </w:t>
      </w:r>
      <w:r>
        <w:rPr>
          <w:rFonts w:asciiTheme="minorHAnsi" w:hAnsiTheme="minorHAnsi" w:cstheme="minorHAnsi"/>
          <w:b/>
          <w:bCs/>
          <w:sz w:val="24"/>
          <w:szCs w:val="24"/>
        </w:rPr>
        <w:t>a esse procedimento e, caso seja verificada a inadimplência da empresa em qualquer documento, o pagamento será retido até que os vícios sejam sanados.</w:t>
      </w:r>
    </w:p>
    <w:p w14:paraId="124EED81" w14:textId="77777777" w:rsidR="00900BDE" w:rsidRPr="002B461F" w:rsidRDefault="00900BDE" w:rsidP="00900BDE">
      <w:pPr>
        <w:pStyle w:val="ListParagraph"/>
        <w:ind w:left="12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FA1C3E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Caso haja aplicação de multa, o valor será descontado de qualquer fatura ou crédito existente na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 em favor d</w:t>
      </w:r>
      <w:r>
        <w:rPr>
          <w:rFonts w:asciiTheme="minorHAnsi" w:hAnsiTheme="minorHAnsi" w:cstheme="minorHAnsi"/>
          <w:bCs/>
          <w:sz w:val="24"/>
          <w:szCs w:val="24"/>
        </w:rPr>
        <w:t>a Contratada</w:t>
      </w:r>
      <w:r w:rsidRPr="006F424C">
        <w:rPr>
          <w:rFonts w:asciiTheme="minorHAnsi" w:hAnsiTheme="minorHAnsi" w:cstheme="minorHAnsi"/>
          <w:bCs/>
          <w:sz w:val="24"/>
          <w:szCs w:val="24"/>
        </w:rPr>
        <w:t>. Caso a multa seja superior ao crédito eventualmente existente, a diferença será cobrada administrativamente, ou judicialmente, se necessário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2E1A6113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 xml:space="preserve">Nos casos de eventuais atrasos de pagamento, desde que a Contratada não tenha concorrido de alguma forma para tanto, fica convencionado que a taxa de atualização financeira devida pela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6F424C">
        <w:rPr>
          <w:rFonts w:asciiTheme="minorHAnsi" w:hAnsiTheme="minorHAnsi" w:cstheme="minorHAnsi"/>
          <w:bCs/>
          <w:sz w:val="24"/>
          <w:szCs w:val="24"/>
        </w:rPr>
        <w:t xml:space="preserve"> de Piracicaba, entre a data acima referida e a correspondente ao efetivo adimplemento do fornecimento, será calculada com base no INPC/IBGE, conforme legislação pertinente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50AD4C4" w14:textId="77777777" w:rsidR="00900BDE" w:rsidRPr="00B13343" w:rsidRDefault="00900BDE" w:rsidP="00900BDE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3343">
        <w:rPr>
          <w:rFonts w:asciiTheme="minorHAnsi" w:hAnsiTheme="minorHAnsi" w:cstheme="minorHAnsi"/>
          <w:sz w:val="24"/>
          <w:szCs w:val="24"/>
        </w:rPr>
        <w:t>A licitante vencedora não poderá suspender o cumprimento de suas obrigações e deverá tolerar os possíveis atrasos de pagamentos, nos termos previstos no artigo 78, inciso XV, da Lei Federal n.º 8.666/93.</w:t>
      </w:r>
    </w:p>
    <w:p w14:paraId="4B914C41" w14:textId="77777777" w:rsidR="00900BDE" w:rsidRPr="006F424C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Oitava – Reajuste</w:t>
      </w:r>
    </w:p>
    <w:p w14:paraId="2027266B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O presente Contrato não sofrerá reajuste até o seu término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8F99151" w14:textId="77777777" w:rsidR="00900BDE" w:rsidRPr="006F424C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Nona – Rescisão</w:t>
      </w:r>
    </w:p>
    <w:p w14:paraId="39489DFA" w14:textId="77777777" w:rsidR="00900BDE" w:rsidRDefault="00900BDE" w:rsidP="00900BDE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24C">
        <w:rPr>
          <w:rFonts w:asciiTheme="minorHAnsi" w:hAnsiTheme="minorHAnsi" w:cstheme="minorHAnsi"/>
          <w:bCs/>
          <w:sz w:val="24"/>
          <w:szCs w:val="24"/>
        </w:rPr>
        <w:t>Independentemente de interpelação judicial, se a empresa Contratada não cumprir as Cláusulas do Contrato, poderá o mesmo ser rescindido a qualquer momento pela empresa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1E15996" w14:textId="77777777" w:rsidR="00900BDE" w:rsidRDefault="00900BDE" w:rsidP="00900BD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24C">
        <w:rPr>
          <w:rFonts w:asciiTheme="minorHAnsi" w:hAnsiTheme="minorHAnsi" w:cstheme="minorHAnsi"/>
          <w:b/>
          <w:bCs/>
          <w:sz w:val="24"/>
          <w:szCs w:val="24"/>
        </w:rPr>
        <w:t>Cláusula Décima – Penalidades</w:t>
      </w:r>
    </w:p>
    <w:p w14:paraId="2D369A32" w14:textId="77777777" w:rsidR="00900BDE" w:rsidRDefault="00900BDE" w:rsidP="00900BDE">
      <w:pPr>
        <w:pStyle w:val="ListParagraph"/>
        <w:numPr>
          <w:ilvl w:val="1"/>
          <w:numId w:val="1"/>
        </w:numPr>
        <w:ind w:left="851" w:hanging="4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Pela inexecução total ou parcial </w:t>
      </w:r>
      <w:r>
        <w:rPr>
          <w:rFonts w:asciiTheme="minorHAnsi" w:hAnsiTheme="minorHAnsi" w:cstheme="minorHAnsi"/>
          <w:sz w:val="24"/>
          <w:szCs w:val="24"/>
        </w:rPr>
        <w:t>do fornecimento</w:t>
      </w:r>
      <w:r w:rsidRPr="004B4701">
        <w:rPr>
          <w:rFonts w:asciiTheme="minorHAnsi" w:hAnsiTheme="minorHAnsi" w:cstheme="minorHAnsi"/>
          <w:sz w:val="24"/>
          <w:szCs w:val="24"/>
        </w:rPr>
        <w:t xml:space="preserve"> objeto deste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Pregão, 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Piracicaba, poderá, garantida a prévia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defesa, aplicar à </w:t>
      </w:r>
      <w:r>
        <w:rPr>
          <w:rFonts w:asciiTheme="minorHAnsi" w:hAnsiTheme="minorHAnsi" w:cstheme="minorHAnsi"/>
          <w:sz w:val="24"/>
          <w:szCs w:val="24"/>
        </w:rPr>
        <w:t>Contratada</w:t>
      </w:r>
      <w:r w:rsidRPr="004B4701">
        <w:rPr>
          <w:rFonts w:asciiTheme="minorHAnsi" w:hAnsiTheme="minorHAnsi" w:cstheme="minorHAnsi"/>
          <w:sz w:val="24"/>
          <w:szCs w:val="24"/>
        </w:rPr>
        <w:t xml:space="preserve"> as seguintes sanções:</w:t>
      </w:r>
    </w:p>
    <w:p w14:paraId="22C64DAD" w14:textId="77777777" w:rsidR="00900BDE" w:rsidRDefault="00900BDE" w:rsidP="00900B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9EB3B3" w14:textId="77777777" w:rsidR="00900BDE" w:rsidRDefault="00900BDE" w:rsidP="00900BD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4B4701">
        <w:rPr>
          <w:rFonts w:asciiTheme="minorHAnsi" w:hAnsiTheme="minorHAnsi" w:cstheme="minorHAnsi"/>
          <w:sz w:val="24"/>
          <w:szCs w:val="24"/>
        </w:rPr>
        <w:t xml:space="preserve"> Advertência;</w:t>
      </w:r>
    </w:p>
    <w:p w14:paraId="5F60A94D" w14:textId="77777777" w:rsidR="00900BDE" w:rsidRDefault="00900BDE" w:rsidP="00900BD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A4BCF8F" w14:textId="77777777" w:rsidR="00900BDE" w:rsidRDefault="00900BDE" w:rsidP="00900BD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</w:t>
      </w:r>
      <w:r w:rsidRPr="004B4701">
        <w:rPr>
          <w:rFonts w:asciiTheme="minorHAnsi" w:hAnsiTheme="minorHAnsi" w:cstheme="minorHAnsi"/>
          <w:sz w:val="24"/>
          <w:szCs w:val="24"/>
        </w:rPr>
        <w:t xml:space="preserve"> - Multa de 0,5% (zero vírgula cinco por cento) sobre o valor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contrato, por dia de atraso e por descumprimento das obrigações estabelecidas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no Edital do Pregão, recolhida no prazo máximo de 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(quinze) dias corridos, uma vez comunicados oficialmente;</w:t>
      </w:r>
    </w:p>
    <w:p w14:paraId="69665998" w14:textId="77777777" w:rsidR="00900BDE" w:rsidRDefault="00900BDE" w:rsidP="00900BD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6880259" w14:textId="77777777" w:rsidR="00900BDE" w:rsidRDefault="00900BDE" w:rsidP="00900BD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B4701">
        <w:rPr>
          <w:rFonts w:asciiTheme="minorHAnsi" w:hAnsiTheme="minorHAnsi" w:cstheme="minorHAnsi"/>
          <w:b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- M</w:t>
      </w:r>
      <w:r w:rsidRPr="004B4701">
        <w:rPr>
          <w:rFonts w:asciiTheme="minorHAnsi" w:hAnsiTheme="minorHAnsi" w:cstheme="minorHAnsi"/>
          <w:sz w:val="24"/>
          <w:szCs w:val="24"/>
        </w:rPr>
        <w:t>ulta de 20% (vinte por cento) sobre o valor do contrato, no caso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inexecução total ou parcial do contrato, recolhida no prazo de 15 (quinze) dias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corridos, contado da comunicação oficial, sem embargo de indenização 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prejuízos porventura causados à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4B4701">
        <w:rPr>
          <w:rFonts w:asciiTheme="minorHAnsi" w:hAnsiTheme="minorHAnsi" w:cstheme="minorHAnsi"/>
          <w:sz w:val="24"/>
          <w:szCs w:val="24"/>
        </w:rPr>
        <w:t xml:space="preserve"> de Piracicaba pela 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>execução parcial ou total do contrato;</w:t>
      </w:r>
    </w:p>
    <w:p w14:paraId="7ACED9E9" w14:textId="77777777" w:rsidR="00900BDE" w:rsidRDefault="00900BDE" w:rsidP="00900BD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D0EA2">
        <w:rPr>
          <w:rFonts w:asciiTheme="minorHAnsi" w:hAnsiTheme="minorHAnsi" w:cstheme="minorHAnsi"/>
          <w:b/>
          <w:sz w:val="24"/>
          <w:szCs w:val="24"/>
        </w:rPr>
        <w:t>IV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4B47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Impedimento de licitar</w:t>
      </w:r>
      <w:r w:rsidRPr="004B4701">
        <w:rPr>
          <w:rFonts w:asciiTheme="minorHAnsi" w:hAnsiTheme="minorHAnsi" w:cstheme="minorHAnsi"/>
          <w:sz w:val="24"/>
          <w:szCs w:val="24"/>
        </w:rPr>
        <w:t xml:space="preserve"> 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4701">
        <w:rPr>
          <w:rFonts w:asciiTheme="minorHAnsi" w:hAnsiTheme="minorHAnsi" w:cstheme="minorHAnsi"/>
          <w:sz w:val="24"/>
          <w:szCs w:val="24"/>
        </w:rPr>
        <w:t xml:space="preserve">contratar com a Administração, por prazo não superior a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4B4701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cinco</w:t>
      </w:r>
      <w:r w:rsidRPr="004B4701">
        <w:rPr>
          <w:rFonts w:asciiTheme="minorHAnsi" w:hAnsiTheme="minorHAnsi" w:cstheme="minorHAnsi"/>
          <w:sz w:val="24"/>
          <w:szCs w:val="24"/>
        </w:rPr>
        <w:t>) anos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F424C">
        <w:rPr>
          <w:rFonts w:asciiTheme="minorHAnsi" w:hAnsiTheme="minorHAnsi" w:cstheme="minorHAnsi"/>
          <w:bCs/>
          <w:sz w:val="24"/>
          <w:szCs w:val="24"/>
        </w:rPr>
        <w:t>garantido o direito prévio da citação e de ampla defesa, enquanto perdurar os motivos determinantes da punição ou até que seja promovida a reabilitação perante a própria autoridade que aplicou a penalidade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C8AA7B8" w14:textId="77777777" w:rsidR="00900BDE" w:rsidRDefault="00900BDE" w:rsidP="00900BD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E512339" w14:textId="77777777" w:rsidR="00900BDE" w:rsidRDefault="00900BDE" w:rsidP="00900BDE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As sanções previstas no inciso I e IV do subitem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8D0EA2">
        <w:rPr>
          <w:rFonts w:asciiTheme="minorHAnsi" w:hAnsiTheme="minorHAnsi" w:cstheme="minorHAnsi"/>
          <w:sz w:val="24"/>
          <w:szCs w:val="24"/>
        </w:rPr>
        <w:t>.1 poderão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aplicadas juntamente com as dos incisos II ou III, facultada a defesa prévia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interessado, no respectivo processo, no prazo de 05 (cinco) dias úteis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C11268" w14:textId="77777777" w:rsidR="00900BDE" w:rsidRDefault="00900BDE" w:rsidP="00900B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EBEB4E" w14:textId="77777777" w:rsidR="00900BDE" w:rsidRDefault="00900BDE" w:rsidP="00900BDE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 xml:space="preserve">As penalidades serão obrigatoriamente registradas na Câmara </w:t>
      </w:r>
      <w:r>
        <w:rPr>
          <w:rFonts w:asciiTheme="minorHAnsi" w:hAnsiTheme="minorHAnsi" w:cstheme="minorHAnsi"/>
          <w:sz w:val="24"/>
          <w:szCs w:val="24"/>
        </w:rPr>
        <w:t>Municipal</w:t>
      </w:r>
      <w:r w:rsidRPr="008D0EA2">
        <w:rPr>
          <w:rFonts w:asciiTheme="minorHAnsi" w:hAnsiTheme="minorHAnsi" w:cstheme="minorHAnsi"/>
          <w:sz w:val="24"/>
          <w:szCs w:val="24"/>
        </w:rPr>
        <w:t xml:space="preserve"> de Piracicaba, no caso de suspensão de licitar, o licitante deverá 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descredenciado por igual período, sem prejuízos das multas previstas no Edital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D0EA2">
        <w:rPr>
          <w:rFonts w:asciiTheme="minorHAnsi" w:hAnsiTheme="minorHAnsi" w:cstheme="minorHAnsi"/>
          <w:sz w:val="24"/>
          <w:szCs w:val="24"/>
        </w:rPr>
        <w:t>e nas demais cominações legais.</w:t>
      </w:r>
    </w:p>
    <w:p w14:paraId="6BAF1322" w14:textId="77777777" w:rsidR="00900BDE" w:rsidRPr="002D677A" w:rsidRDefault="00900BDE" w:rsidP="00900BD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67DECAC" w14:textId="77777777" w:rsidR="00900BDE" w:rsidRPr="002D677A" w:rsidRDefault="00900BDE" w:rsidP="00900BDE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D677A">
        <w:rPr>
          <w:rFonts w:asciiTheme="minorHAnsi" w:hAnsiTheme="minorHAnsi" w:cstheme="minorHAnsi"/>
          <w:sz w:val="24"/>
          <w:szCs w:val="24"/>
        </w:rPr>
        <w:t xml:space="preserve">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garantido o direito prévio da citação e da ampla defesa. </w:t>
      </w:r>
    </w:p>
    <w:p w14:paraId="17ED5CED" w14:textId="77777777" w:rsidR="00900BDE" w:rsidRPr="002D677A" w:rsidRDefault="00900BDE" w:rsidP="00900BD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812ACCB" w14:textId="77777777" w:rsidR="00900BDE" w:rsidRDefault="00900BDE" w:rsidP="00900BDE">
      <w:pPr>
        <w:pStyle w:val="ListParagraph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AF42A1">
        <w:rPr>
          <w:rFonts w:asciiTheme="minorHAnsi" w:hAnsiTheme="minorHAnsi" w:cstheme="minorHAnsi"/>
          <w:sz w:val="24"/>
          <w:szCs w:val="24"/>
        </w:rPr>
        <w:t xml:space="preserve"> As multas poderão ser descontadas dos pagamentos eventualmente devidos pela Administração ou recolhidos via depósito. Caso o pagamento não seja efetuado, o débito será encaminhado para execução em Dívida Ativa.</w:t>
      </w:r>
    </w:p>
    <w:p w14:paraId="4F7BA02B" w14:textId="77777777" w:rsidR="00900BDE" w:rsidRPr="00AF42A1" w:rsidRDefault="00900BDE" w:rsidP="00900B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BC62D8" w14:textId="77777777" w:rsidR="00900BDE" w:rsidRPr="00DB4B2E" w:rsidRDefault="00900BDE" w:rsidP="00900BD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4B2E">
        <w:rPr>
          <w:rFonts w:asciiTheme="minorHAnsi" w:hAnsiTheme="minorHAnsi" w:cstheme="minorHAnsi"/>
          <w:b/>
          <w:sz w:val="24"/>
          <w:szCs w:val="24"/>
        </w:rPr>
        <w:t>Cláusula Décima Primeira – Vinculação ao Processo Licitatório</w:t>
      </w:r>
    </w:p>
    <w:p w14:paraId="5A28CE69" w14:textId="77777777" w:rsidR="00900BDE" w:rsidRPr="00AF42A1" w:rsidRDefault="00900BDE" w:rsidP="00900BDE">
      <w:pPr>
        <w:pStyle w:val="ListParagraph"/>
        <w:numPr>
          <w:ilvl w:val="1"/>
          <w:numId w:val="1"/>
        </w:numPr>
        <w:spacing w:after="160" w:line="259" w:lineRule="auto"/>
        <w:ind w:left="851" w:hanging="49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2A1">
        <w:rPr>
          <w:rFonts w:asciiTheme="minorHAnsi" w:hAnsiTheme="minorHAnsi" w:cstheme="minorHAnsi"/>
          <w:bCs/>
          <w:sz w:val="24"/>
          <w:szCs w:val="24"/>
        </w:rPr>
        <w:t xml:space="preserve"> Fica vinculado o presente instrumento ao Processo Administrativo Licitatório 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bCs/>
          <w:sz w:val="24"/>
          <w:szCs w:val="24"/>
        </w:rPr>
        <w:t>644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>/2022</w:t>
      </w:r>
      <w:r w:rsidRPr="00AF42A1">
        <w:rPr>
          <w:rFonts w:asciiTheme="minorHAnsi" w:hAnsiTheme="minorHAnsi" w:cstheme="minorHAnsi"/>
          <w:bCs/>
          <w:sz w:val="24"/>
          <w:szCs w:val="24"/>
        </w:rPr>
        <w:t xml:space="preserve"> - Pregão Eletrônico 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AF42A1">
        <w:rPr>
          <w:rFonts w:asciiTheme="minorHAnsi" w:hAnsiTheme="minorHAnsi" w:cstheme="minorHAnsi"/>
          <w:b/>
          <w:bCs/>
          <w:sz w:val="24"/>
          <w:szCs w:val="24"/>
        </w:rPr>
        <w:t>/2022.</w:t>
      </w:r>
    </w:p>
    <w:p w14:paraId="6A837918" w14:textId="77777777" w:rsidR="00900BDE" w:rsidRDefault="00900BDE" w:rsidP="00900BDE">
      <w:pPr>
        <w:spacing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>Para todas</w:t>
      </w:r>
      <w:r>
        <w:rPr>
          <w:rFonts w:asciiTheme="minorHAnsi" w:hAnsiTheme="minorHAnsi" w:cstheme="minorHAnsi"/>
          <w:bCs/>
          <w:sz w:val="24"/>
          <w:szCs w:val="24"/>
        </w:rPr>
        <w:t xml:space="preserve"> as </w:t>
      </w:r>
      <w:r w:rsidRPr="003866A3">
        <w:rPr>
          <w:rFonts w:asciiTheme="minorHAnsi" w:hAnsiTheme="minorHAnsi" w:cstheme="minorHAnsi"/>
          <w:bCs/>
          <w:sz w:val="24"/>
          <w:szCs w:val="24"/>
        </w:rPr>
        <w:t>questões suscitadas na execução do Contrato, não resolvidas administrativamente, fica eleito o foro da Comarca de Piracicaba</w:t>
      </w:r>
      <w:r>
        <w:rPr>
          <w:rFonts w:asciiTheme="minorHAnsi" w:hAnsiTheme="minorHAnsi" w:cstheme="minorHAnsi"/>
          <w:bCs/>
          <w:sz w:val="24"/>
          <w:szCs w:val="24"/>
        </w:rPr>
        <w:t>, com renúncia expressa de qual</w:t>
      </w:r>
      <w:r w:rsidRPr="003866A3">
        <w:rPr>
          <w:rFonts w:asciiTheme="minorHAnsi" w:hAnsiTheme="minorHAnsi" w:cstheme="minorHAnsi"/>
          <w:bCs/>
          <w:sz w:val="24"/>
          <w:szCs w:val="24"/>
        </w:rPr>
        <w:t>quer outro, por mais privilegiado que seja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0C97D96" w14:textId="77777777" w:rsidR="00900BDE" w:rsidRDefault="00900BDE" w:rsidP="00900BDE">
      <w:pPr>
        <w:spacing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>E por estarem justas e contratadas, a</w:t>
      </w:r>
      <w:r>
        <w:rPr>
          <w:rFonts w:asciiTheme="minorHAnsi" w:hAnsiTheme="minorHAnsi" w:cstheme="minorHAnsi"/>
          <w:bCs/>
          <w:sz w:val="24"/>
          <w:szCs w:val="24"/>
        </w:rPr>
        <w:t>s partes assinam o presente ins</w:t>
      </w:r>
      <w:r w:rsidRPr="003866A3">
        <w:rPr>
          <w:rFonts w:asciiTheme="minorHAnsi" w:hAnsiTheme="minorHAnsi" w:cstheme="minorHAnsi"/>
          <w:bCs/>
          <w:sz w:val="24"/>
          <w:szCs w:val="24"/>
        </w:rPr>
        <w:t>trumento particular de contrato em 04 (quatro) vias de igu</w:t>
      </w:r>
      <w:r>
        <w:rPr>
          <w:rFonts w:asciiTheme="minorHAnsi" w:hAnsiTheme="minorHAnsi" w:cstheme="minorHAnsi"/>
          <w:bCs/>
          <w:sz w:val="24"/>
          <w:szCs w:val="24"/>
        </w:rPr>
        <w:t>al teor, for</w:t>
      </w:r>
      <w:r w:rsidRPr="003866A3">
        <w:rPr>
          <w:rFonts w:asciiTheme="minorHAnsi" w:hAnsiTheme="minorHAnsi" w:cstheme="minorHAnsi"/>
          <w:bCs/>
          <w:sz w:val="24"/>
          <w:szCs w:val="24"/>
        </w:rPr>
        <w:t>ma e efeito, com todas as folhas devidamente rubricadas.</w:t>
      </w:r>
    </w:p>
    <w:p w14:paraId="5CE3C499" w14:textId="3AFEFBDC" w:rsidR="00900BDE" w:rsidRDefault="00900BDE" w:rsidP="00900BDE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3866A3">
        <w:rPr>
          <w:rFonts w:asciiTheme="minorHAnsi" w:hAnsiTheme="minorHAnsi" w:cstheme="minorHAnsi"/>
          <w:bCs/>
          <w:sz w:val="24"/>
          <w:szCs w:val="24"/>
        </w:rPr>
        <w:t xml:space="preserve">Piracicaba, </w:t>
      </w:r>
      <w:r>
        <w:rPr>
          <w:rFonts w:asciiTheme="minorHAnsi" w:hAnsiTheme="minorHAnsi" w:cstheme="minorHAnsi"/>
          <w:bCs/>
          <w:sz w:val="24"/>
          <w:szCs w:val="24"/>
        </w:rPr>
        <w:t>2 de janeiro de 2023</w:t>
      </w:r>
    </w:p>
    <w:p w14:paraId="28FA0B02" w14:textId="77777777" w:rsidR="00900BDE" w:rsidRDefault="00900BDE" w:rsidP="00900BDE">
      <w:pPr>
        <w:spacing w:after="160" w:line="259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B851502" w14:textId="77777777" w:rsidR="00900BDE" w:rsidRPr="003866A3" w:rsidRDefault="00900BDE" w:rsidP="00900BD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Contratante</w:t>
      </w:r>
    </w:p>
    <w:p w14:paraId="5B83B9ED" w14:textId="590C8371" w:rsidR="00900BDE" w:rsidRPr="003866A3" w:rsidRDefault="00144D55" w:rsidP="00900BD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Wagner Alexandre de Oliveira</w:t>
      </w:r>
    </w:p>
    <w:p w14:paraId="6780AEE2" w14:textId="77777777" w:rsidR="00900BDE" w:rsidRPr="003866A3" w:rsidRDefault="00900BDE" w:rsidP="00900BD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Presidente da Câmara Municipal de Piracicaba</w:t>
      </w:r>
    </w:p>
    <w:p w14:paraId="4EC2029F" w14:textId="77777777" w:rsidR="00900BDE" w:rsidRPr="003866A3" w:rsidRDefault="00900BDE" w:rsidP="00900BD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EB6488" w14:textId="77777777" w:rsidR="00900BDE" w:rsidRPr="003866A3" w:rsidRDefault="00900BDE" w:rsidP="00900BDE">
      <w:pPr>
        <w:spacing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6A3">
        <w:rPr>
          <w:rFonts w:asciiTheme="minorHAnsi" w:hAnsiTheme="minorHAnsi" w:cstheme="minorHAnsi"/>
          <w:b/>
          <w:bCs/>
          <w:sz w:val="24"/>
          <w:szCs w:val="24"/>
        </w:rPr>
        <w:t>Contratada</w:t>
      </w:r>
    </w:p>
    <w:bookmarkEnd w:id="0"/>
    <w:p w14:paraId="39438A69" w14:textId="7FC923F6" w:rsidR="00D758F2" w:rsidRDefault="00900BDE" w:rsidP="00900B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João Carlos Trento</w:t>
      </w:r>
    </w:p>
    <w:p w14:paraId="627584AF" w14:textId="27007A8D" w:rsidR="00900BDE" w:rsidRDefault="00900BDE" w:rsidP="00900BDE">
      <w:pPr>
        <w:jc w:val="center"/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J.T Industria e Comercio de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Cafes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LTDA EPP</w:t>
      </w:r>
    </w:p>
    <w:sectPr w:rsidR="00900B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B95A" w14:textId="77777777" w:rsidR="00900BDE" w:rsidRDefault="00900BDE" w:rsidP="00900BDE">
      <w:r>
        <w:separator/>
      </w:r>
    </w:p>
  </w:endnote>
  <w:endnote w:type="continuationSeparator" w:id="0">
    <w:p w14:paraId="01ABD259" w14:textId="77777777" w:rsidR="00900BDE" w:rsidRDefault="00900BDE" w:rsidP="009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A7DF" w14:textId="77777777" w:rsidR="00900BDE" w:rsidRDefault="00900BDE" w:rsidP="00900BDE">
      <w:r>
        <w:separator/>
      </w:r>
    </w:p>
  </w:footnote>
  <w:footnote w:type="continuationSeparator" w:id="0">
    <w:p w14:paraId="234B7C62" w14:textId="77777777" w:rsidR="00900BDE" w:rsidRDefault="00900BDE" w:rsidP="009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DFBD" w14:textId="77777777" w:rsidR="00900BDE" w:rsidRPr="00772005" w:rsidRDefault="00900BDE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D43424B" wp14:editId="325121B3">
          <wp:simplePos x="0" y="0"/>
          <wp:positionH relativeFrom="column">
            <wp:posOffset>-537210</wp:posOffset>
          </wp:positionH>
          <wp:positionV relativeFrom="paragraph">
            <wp:posOffset>-251460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679B2754" w14:textId="77777777" w:rsidR="00900BDE" w:rsidRPr="00772005" w:rsidRDefault="00900BDE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4640C145" w14:textId="77777777" w:rsidR="00900BDE" w:rsidRPr="00772005" w:rsidRDefault="00900BDE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7F0B9238" w14:textId="77777777" w:rsidR="00900BDE" w:rsidRDefault="00900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9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597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C3"/>
    <w:rsid w:val="00144D55"/>
    <w:rsid w:val="002078C3"/>
    <w:rsid w:val="00900BDE"/>
    <w:rsid w:val="00D2460A"/>
    <w:rsid w:val="00D758F2"/>
    <w:rsid w:val="00FB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EC75"/>
  <w15:chartTrackingRefBased/>
  <w15:docId w15:val="{E5885D0D-1073-4913-A996-9D1F3DF2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DE"/>
    <w:pPr>
      <w:ind w:left="720"/>
      <w:contextualSpacing/>
    </w:pPr>
  </w:style>
  <w:style w:type="table" w:styleId="TableGrid">
    <w:name w:val="Table Grid"/>
    <w:basedOn w:val="TableNormal"/>
    <w:uiPriority w:val="39"/>
    <w:rsid w:val="0090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BD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B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00BD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B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1369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4</cp:revision>
  <dcterms:created xsi:type="dcterms:W3CDTF">2023-01-02T13:58:00Z</dcterms:created>
  <dcterms:modified xsi:type="dcterms:W3CDTF">2023-01-05T17:11:00Z</dcterms:modified>
</cp:coreProperties>
</file>